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47700" cy="107632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КЕМЕРОВСКАЯ ОБЛАСТЬ - КУЗБАСС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aps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НОВОКУЗНЕЦКИЙ ГОРОДСКОЙ ОКРУГ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lineRule="auto" w:line="240" w:before="0" w:after="0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  <w:br/>
        <w:t>администрации города Новокузнецка</w:t>
        <w:br/>
        <w:t>от 18.04.2014 №61 «Об утверждении</w:t>
        <w:br/>
        <w:t>схем размещения нестационарных</w:t>
        <w:br/>
        <w:t>торговых объектов на территории</w:t>
        <w:br/>
        <w:t>Новокузнецкого городского округа»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firstLine="624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постановлением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области-Кузбасса, без предоставления земельных участков и установления сервитута, публичного сервитута», в целях приведения правовых актов администрации города Новокузнецка в соответствие с действующим законодательством Российской Федерации, упорядочения размещения нестационарных торговых объектов на территории Новокузнецкого городского округа, руководствуясь статьей 40 Устава Новокузнецкого городского округа: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Внести в постановление администрации города Новокузнецка</w:t>
        <w:br/>
        <w:t>от 18.04.2014 №61 «Об утверждении схем размещения нестационарных торговых объектов на территории Новокузнецкого городского округа» изменения согласно приложению к настоящему постановлению.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 Управлению потребительского рынка и развития предпринимательства администрации города Новокузнецка: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разместить изменения в схемы размещения нестационарных торговых объектов на территории Новокузнецкого городского округа, внесенные настоящим постановлением, на официальном сайте администрации города Новокузнецка в информационно-телекоммуникационной сети «Интернет»;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направить изменения в схемы размещения нестационарных торговых объектов на территории Новокузнецкого городского округа, внесенные настоящим постановлением, в Министерство промышленности и торговли Кузбасса для размещения их на официальном сайте Министерства промышленности и торговли Кузбасса в информационно-телекоммуникационной сети «Интернет».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 Контроль за исполнением настоящего постановления возложить на заместителя Главы города по экономическим вопросам</w:t>
      </w:r>
      <w:bookmarkStart w:id="0" w:name="ТекстовоеПоле5_Копия_1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26"/>
        <w:gridCol w:w="4926"/>
      </w:tblGrid>
      <w:tr>
        <w:trPr/>
        <w:tc>
          <w:tcPr>
            <w:tcW w:w="4926" w:type="dxa"/>
            <w:tcBorders/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9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Д.П. Ильин</w:t>
            </w:r>
            <w:bookmarkEnd w:id="0"/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/>
      </w:r>
      <w:bookmarkStart w:id="1" w:name="ТекстовоеПоле5"/>
      <w:bookmarkStart w:id="2" w:name="ТекстовоеПоле5"/>
      <w:bookmarkEnd w:id="2"/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3" w:name="ТекстовоеПоле5"/>
      <w:bookmarkStart w:id="4" w:name="ТекстовоеПоле5"/>
      <w:bookmarkEnd w:id="4"/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  <w:br/>
        <w:t xml:space="preserve"> к постановлению администрации</w:t>
        <w:br/>
        <w:t>города Новокузнецка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/>
          <w:sz w:val="28"/>
          <w:szCs w:val="28"/>
          <w:u w:val="single"/>
        </w:rPr>
        <w:t>_____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u w:val="none"/>
        </w:rPr>
        <w:t>__</w:t>
      </w:r>
      <w:r>
        <w:rPr>
          <w:rFonts w:ascii="Times New Roman" w:hAnsi="Times New Roman"/>
          <w:sz w:val="28"/>
          <w:szCs w:val="28"/>
          <w:u w:val="none"/>
        </w:rPr>
        <w:t>___</w:t>
      </w:r>
      <w:r>
        <w:rPr>
          <w:rFonts w:ascii="Times New Roman" w:hAnsi="Times New Roman"/>
          <w:sz w:val="28"/>
          <w:szCs w:val="28"/>
          <w:u w:val="none"/>
        </w:rPr>
        <w:t>_</w:t>
      </w:r>
    </w:p>
    <w:p>
      <w:pPr>
        <w:pStyle w:val="Normal"/>
        <w:spacing w:lineRule="auto" w:line="240" w:before="360" w:after="2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постановление администрации</w:t>
        <w:br/>
        <w:t xml:space="preserve">города Новокузнецка </w:t>
      </w:r>
      <w:r>
        <w:rPr>
          <w:rFonts w:ascii="Times New Roman" w:hAnsi="Times New Roman"/>
          <w:bCs/>
          <w:sz w:val="28"/>
          <w:szCs w:val="28"/>
        </w:rPr>
        <w:t>от 18.04.2014 №61 «Об утверждении</w:t>
        <w:br/>
        <w:t>схем размещения нестационарных торговых объектов</w:t>
        <w:br/>
        <w:t>на территории Новокузнецкого городского округа»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приложении №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«Схема размещения нестационарных торговых объектов на территории </w:t>
      </w:r>
      <w:r>
        <w:rPr>
          <w:rFonts w:ascii="Times New Roman" w:hAnsi="Times New Roman"/>
          <w:sz w:val="28"/>
          <w:szCs w:val="28"/>
        </w:rPr>
        <w:t>Куйбышевского</w:t>
      </w:r>
      <w:r>
        <w:rPr>
          <w:rFonts w:ascii="Times New Roman" w:hAnsi="Times New Roman"/>
          <w:sz w:val="28"/>
          <w:szCs w:val="28"/>
        </w:rPr>
        <w:t xml:space="preserve"> района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 в графе «Специализация торговли» пункта 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слова «специализированная (</w:t>
      </w:r>
      <w:r>
        <w:rPr>
          <w:rFonts w:cs="Times New Roman" w:ascii="Times New Roman" w:hAnsi="Times New Roman"/>
          <w:sz w:val="28"/>
          <w:szCs w:val="28"/>
        </w:rPr>
        <w:t>продажа продовольственных товаров и сельскохозяйственной продукции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</w:rPr>
        <w:t>» заменить словами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специализированная (продажа печатной продукции)</w:t>
      </w: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) в графе «Специализация торговли» пункта </w:t>
      </w:r>
      <w:r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 xml:space="preserve"> слова «специализированная (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продажа печатной продукции)</w:t>
      </w:r>
      <w:r>
        <w:rPr>
          <w:rFonts w:ascii="Times New Roman" w:hAnsi="Times New Roman"/>
          <w:sz w:val="28"/>
          <w:szCs w:val="28"/>
        </w:rPr>
        <w:t>» заменить словами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универсальная</w:t>
      </w: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пункт 260 признать утратившим силу;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 в приложении «Ситуационные планы размещения нестационарных торговых объектов на территории Куйбышевского района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в графе 2 строки «Специализация торговли» таблицы порядкового номера пункта 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текстового раздела схемы слова «специализированная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продажа продовольственных товаров и сельскохозяйственной продукции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)» заменить словами «специализированная (продажа печатной продукции)»</w:t>
      </w: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в графе 2 строки «Специализация торговли» таблицы порядкового номера пункта </w:t>
      </w:r>
      <w:r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 xml:space="preserve"> текстового раздела схемы слова «специализированная (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продажа печатной продукции)</w:t>
      </w:r>
      <w:r>
        <w:rPr>
          <w:rFonts w:ascii="Times New Roman" w:hAnsi="Times New Roman"/>
          <w:sz w:val="28"/>
          <w:szCs w:val="28"/>
        </w:rPr>
        <w:t>» заменить словами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универсальная</w:t>
      </w: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таблиц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и схем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размещения с условными обозначениями порядков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номер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260 </w:t>
      </w:r>
      <w:r>
        <w:rPr>
          <w:rFonts w:ascii="Times New Roman" w:hAnsi="Times New Roman"/>
          <w:sz w:val="28"/>
          <w:szCs w:val="28"/>
        </w:rPr>
        <w:t>текстового раздела схемы признать утратившими силу;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 В приложении №7 «Схема размещения сезонных нестационарных торговых объектов на территории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1) пункт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раздела «</w:t>
      </w:r>
      <w:r>
        <w:rPr>
          <w:rFonts w:ascii="Times New Roman" w:hAnsi="Times New Roman"/>
          <w:sz w:val="28"/>
          <w:szCs w:val="28"/>
        </w:rPr>
        <w:t>Центральный</w:t>
      </w:r>
      <w:r>
        <w:rPr>
          <w:rFonts w:ascii="Times New Roman" w:hAnsi="Times New Roman"/>
          <w:sz w:val="28"/>
          <w:szCs w:val="28"/>
        </w:rPr>
        <w:t xml:space="preserve"> район» признать утратившим силу;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2) таблицу и схему места размещения с условными обозначениями порядкового номера пункта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текстового раздела схемы раздела «</w:t>
      </w:r>
      <w:r>
        <w:rPr>
          <w:rFonts w:ascii="Times New Roman" w:hAnsi="Times New Roman"/>
          <w:sz w:val="28"/>
          <w:szCs w:val="28"/>
        </w:rPr>
        <w:t>Центральный</w:t>
      </w:r>
      <w:r>
        <w:rPr>
          <w:rFonts w:ascii="Times New Roman" w:hAnsi="Times New Roman"/>
          <w:sz w:val="28"/>
          <w:szCs w:val="28"/>
        </w:rPr>
        <w:t xml:space="preserve"> район» приложения «Ситуационные планы размещения сезонных нестационарных торговых объектов на территории Новокузнецкого городского округа»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В приложении №8 «Схема компенсационных мест размещения  нестационарных торговых объектов на территории Новокузнецкого городского округа»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 I. «Текстовая часть»»: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 дополнить пунктом </w:t>
      </w:r>
      <w:r>
        <w:rPr>
          <w:rFonts w:ascii="Times New Roman" w:hAnsi="Times New Roman"/>
          <w:sz w:val="28"/>
          <w:szCs w:val="28"/>
        </w:rPr>
        <w:t xml:space="preserve">3  </w:t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раздела «Куйбышевский район»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4950" w:type="pct"/>
        <w:jc w:val="left"/>
        <w:tblInd w:w="221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61"/>
        <w:gridCol w:w="2054"/>
        <w:gridCol w:w="658"/>
        <w:gridCol w:w="586"/>
        <w:gridCol w:w="1307"/>
        <w:gridCol w:w="2564"/>
        <w:gridCol w:w="1709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Карла Маркса, 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) в приложении </w:t>
      </w:r>
      <w:r>
        <w:rPr>
          <w:rFonts w:ascii="Times New Roman" w:hAnsi="Times New Roman"/>
          <w:sz w:val="28"/>
          <w:szCs w:val="28"/>
        </w:rPr>
        <w:t>к р</w:t>
      </w:r>
      <w:r>
        <w:rPr>
          <w:rFonts w:ascii="Times New Roman" w:hAnsi="Times New Roman"/>
          <w:bCs/>
          <w:sz w:val="28"/>
          <w:szCs w:val="28"/>
        </w:rPr>
        <w:t>аздел</w:t>
      </w: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. «Графическая часть» </w:t>
      </w:r>
      <w:r>
        <w:rPr>
          <w:rFonts w:ascii="Times New Roman" w:hAnsi="Times New Roman"/>
          <w:bCs/>
          <w:sz w:val="28"/>
          <w:szCs w:val="28"/>
        </w:rPr>
        <w:t>«Схем</w:t>
      </w:r>
      <w:r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 xml:space="preserve"> компенсационных мест размещения  нестационарных торговых объектов на территории Новокузнецкого городского округа»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раздела «Куйбышевский район»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дополнить таблицей и схемой места размещения с условными обозначениями порядкового номера пункта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текстового раздела схемы согласно приложению №1 к настоящим изменениям.</w:t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926"/>
      </w:tblGrid>
      <w:tr>
        <w:trPr/>
        <w:tc>
          <w:tcPr>
            <w:tcW w:w="49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города по экономическим вопросам</w:t>
            </w:r>
          </w:p>
        </w:tc>
        <w:tc>
          <w:tcPr>
            <w:tcW w:w="4926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 Прошунина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  <w:br/>
        <w:t>к Изменениям в постановление</w:t>
        <w:br/>
        <w:t>администрации города Новокузнецка</w:t>
        <w:br/>
      </w:r>
      <w:r>
        <w:rPr>
          <w:rFonts w:ascii="Times New Roman" w:hAnsi="Times New Roman"/>
          <w:bCs/>
          <w:sz w:val="28"/>
          <w:szCs w:val="28"/>
        </w:rPr>
        <w:t>от 18.04.2014 №61 «Об утверждении</w:t>
        <w:br/>
        <w:t>схем размещения нестационарных</w:t>
        <w:br/>
        <w:t>торговых объектов на территории</w:t>
        <w:br/>
        <w:t>Новокузнецкого городского округа»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Новокузнецка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18.04.2014 №61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360" w:after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Ситуационные планы</w:t>
        <w:br/>
        <w:t>размещения нестационарных торговых объектов</w:t>
        <w:br/>
        <w:t>на территории Куйбышевского района Новокузнецкого городского округа</w:t>
      </w:r>
    </w:p>
    <w:tbl>
      <w:tblPr>
        <w:tblW w:w="4950" w:type="pct"/>
        <w:jc w:val="center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894"/>
        <w:gridCol w:w="3645"/>
      </w:tblGrid>
      <w:tr>
        <w:trPr>
          <w:trHeight w:val="281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440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улица Карла Маркса, 10</w:t>
            </w:r>
          </w:p>
        </w:tc>
      </w:tr>
      <w:tr>
        <w:trPr>
          <w:trHeight w:val="281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>
        <w:trPr>
          <w:trHeight w:val="281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>
        <w:trPr>
          <w:trHeight w:val="281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специализированная</w:t>
              <w:br/>
              <w:t>(продажа продовольственных товаров и сельскохозяйственной продукции)</w:t>
            </w:r>
          </w:p>
        </w:tc>
      </w:tr>
      <w:tr>
        <w:trPr>
          <w:trHeight w:val="1160" w:hRule="atLeast"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right="-1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/>
        <w:drawing>
          <wp:inline distT="0" distB="0" distL="0" distR="0">
            <wp:extent cx="5724525" cy="2971800"/>
            <wp:effectExtent l="0" t="0" r="0" b="0"/>
            <wp:docPr id="2" name="Рисунок 1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5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1451" t="9295" r="0" b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71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rPr/>
        <w:br w:type="textWrapping" w:clear="all"/>
      </w:r>
    </w:p>
    <w:p>
      <w:pPr>
        <w:pStyle w:val="Normal"/>
        <w:spacing w:lineRule="auto" w:line="240" w:before="240" w:after="120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Масштаб 1:500</w:t>
      </w:r>
    </w:p>
    <w:tbl>
      <w:tblPr>
        <w:tblW w:w="9213" w:type="dxa"/>
        <w:jc w:val="left"/>
        <w:tblInd w:w="500" w:type="dxa"/>
        <w:tblLayout w:type="fixed"/>
        <w:tblCellMar>
          <w:top w:w="45" w:type="dxa"/>
          <w:left w:w="108" w:type="dxa"/>
          <w:bottom w:w="45" w:type="dxa"/>
          <w:right w:w="108" w:type="dxa"/>
        </w:tblCellMar>
        <w:tblLook w:val="0000"/>
      </w:tblPr>
      <w:tblGrid>
        <w:gridCol w:w="2976"/>
        <w:gridCol w:w="6236"/>
      </w:tblGrid>
      <w:tr>
        <w:trPr/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Условные обозначения: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behindDoc="0" distT="6350" distB="6350" distL="0" distR="0" simplePos="0" locked="0" layoutInCell="1" allowOverlap="1" relativeHeight="4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0" t="6350" r="0" b="6350"/>
                      <wp:wrapNone/>
                      <wp:docPr id="3" name="Фигура34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Фигура348" stroked="t" o:allowincell="f" style="position:absolute">
                      <v:stroke color="black" weight="1260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граница места размещения нестационарного торгового объекта;</w:t>
            </w:r>
          </w:p>
        </w:tc>
      </w:tr>
      <w:tr>
        <w:trPr/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behindDoc="0" distT="44450" distB="45085" distL="635" distR="635" simplePos="0" locked="0" layoutInCell="1" allowOverlap="1" relativeHeight="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57785</wp:posOffset>
                      </wp:positionV>
                      <wp:extent cx="795655" cy="1270"/>
                      <wp:effectExtent l="635" t="44450" r="635" b="45085"/>
                      <wp:wrapNone/>
                      <wp:docPr id="4" name="Фигура34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600" cy="1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40">
                                <a:solidFill>
                                  <a:srgbClr val="000000"/>
                                </a:solidFill>
                                <a:miter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Фигура349" path="m0,0l-2147483648,-2147483647e" stroked="t" o:allowincell="f" style="position:absolute;margin-left:4.5pt;margin-top:4.55pt;width:62.6pt;height:0.05pt;mso-wrap-style:none;v-text-anchor:middle" type="_x0000_t32">
                      <v:fill o:detectmouseclick="t" on="false"/>
                      <v:stroke color="black" weight="15840" startarrow="open" endarrow="open" startarrowwidth="medium" startarrowlength="medium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27"/>
        <w:gridCol w:w="4825"/>
      </w:tblGrid>
      <w:tr>
        <w:trPr/>
        <w:tc>
          <w:tcPr>
            <w:tcW w:w="502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города по экономическим вопросам</w:t>
            </w:r>
          </w:p>
        </w:tc>
        <w:tc>
          <w:tcPr>
            <w:tcW w:w="4825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 Прошунина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lang w:eastAsia="ru-RU"/>
        </w:rPr>
      </w:r>
    </w:p>
    <w:p>
      <w:pPr>
        <w:pStyle w:val="Normal"/>
        <w:ind w:right="-1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ind w:right="-1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0" w:after="200"/>
        <w:ind w:right="-1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7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7a8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ad7a8d"/>
    <w:rPr>
      <w:rFonts w:ascii="Calibri" w:hAnsi="Calibri" w:eastAsia="Calibri" w:cs="Times New Roman"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7a8d"/>
    <w:rPr>
      <w:rFonts w:ascii="Tahoma" w:hAnsi="Tahoma" w:eastAsia="Calibri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ad7a8d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d7a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7a8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>
    <w:name w:val="Верхний колонтитул слева"/>
    <w:basedOn w:val="Header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Application>LibreOffice/24.8.4.2$Linux_X86_64 LibreOffice_project/480$Build-2</Application>
  <AppVersion>15.0000</AppVersion>
  <Pages>8</Pages>
  <Words>794</Words>
  <Characters>6370</Characters>
  <CharactersWithSpaces>7131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2024-04-15T10:06:00Z</dcterms:created>
  <dc:creator>user1</dc:creator>
  <dc:description/>
  <dc:language>ru-RU</dc:language>
  <cp:lastModifiedBy/>
  <cp:lastPrinted>2024-03-26T04:46:00Z</cp:lastPrinted>
  <dcterms:modified xsi:type="dcterms:W3CDTF">2026-04-28T07:54:58Z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